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1"/>
        <w:tblpPr w:horzAnchor="margin" w:tblpXSpec="center" w:vertAnchor="margin" w:tblpY="-238" w:leftFromText="180" w:topFromText="0" w:rightFromText="180" w:bottomFromText="0"/>
        <w:tblW w:w="10666" w:type="dxa"/>
        <w:tblLayout w:type="fixed"/>
        <w:tblLook w:val="04A0" w:firstRow="1" w:lastRow="0" w:firstColumn="1" w:lastColumn="0" w:noHBand="0" w:noVBand="1"/>
      </w:tblPr>
      <w:tblGrid>
        <w:gridCol w:w="6130"/>
        <w:gridCol w:w="2131"/>
        <w:gridCol w:w="236"/>
        <w:gridCol w:w="2169"/>
      </w:tblGrid>
      <w:tr>
        <w:tblPrEx/>
        <w:trPr>
          <w:trHeight w:val="21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Ключевой информационный документ об условиях договора добровольного страхования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Каско: я не виноват 2.0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подготовлен на основании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Публичной оферты о заключении договора (полиса) страхования средств наземного транспорта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Каско: я не виноват 2.0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(далее - Оферта),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Правил страхования средств наземного транспорта №4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редакциях, действующих на дату заключения договора добровольного страхования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/>
            <w:bookmarkStart w:id="0" w:name="Par260"/>
            <w:r/>
            <w:bookmarkEnd w:id="0"/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16025" cy="1223010"/>
                      <wp:effectExtent l="19050" t="0" r="3175" b="0"/>
                      <wp:docPr id="1" name="Рисунок 0" descr="QR - Оферты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QR - Оферты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16025" cy="122300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5.75pt;height:96.3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0155" cy="1240155"/>
                      <wp:effectExtent l="19050" t="0" r="0" b="0"/>
                      <wp:docPr id="2" name="Рисунок 1" descr="QR - Правила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QR - Правила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40155" cy="12401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7.65pt;height:97.6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10632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427"/>
        <w:gridCol w:w="5205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СТРАХОВЩИК: </w:t>
            </w:r>
            <w:r>
              <w:rPr>
                <w:sz w:val="23"/>
                <w:szCs w:val="23"/>
              </w:rPr>
              <w:t xml:space="preserve">АО «Д2 СТРАХОВАНИЕ»</w:t>
            </w:r>
            <w:r>
              <w:rPr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630099, Новосибирск, ул. Депутатская, д. 2, помещ. 1</w:t>
            </w:r>
            <w:r>
              <w:rPr>
                <w:sz w:val="23"/>
                <w:szCs w:val="23"/>
              </w:rPr>
              <w:t xml:space="preserve">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Адрес электронной почты </w:t>
            </w:r>
            <w:hyperlink r:id="rId12" w:tooltip="mailto:info@d2insur.ru" w:history="1">
              <w:r>
                <w:rPr>
                  <w:rStyle w:val="636"/>
                  <w:sz w:val="23"/>
                  <w:szCs w:val="23"/>
                  <w:lang w:val="en-US"/>
                </w:rPr>
                <w:t xml:space="preserve">info</w:t>
              </w:r>
              <w:r>
                <w:rPr>
                  <w:rStyle w:val="636"/>
                  <w:sz w:val="23"/>
                  <w:szCs w:val="23"/>
                </w:rPr>
                <w:t xml:space="preserve">@d2insur.ru</w:t>
              </w:r>
            </w:hyperlink>
            <w:r/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21"/>
        </w:trPr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5427" w:type="dxa"/>
            <w:textDirection w:val="lrTb"/>
            <w:noWrap w:val="false"/>
          </w:tcPr>
          <w:p>
            <w:pPr>
              <w:pStyle w:val="6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5205" w:type="dxa"/>
            <w:textDirection w:val="lrTb"/>
            <w:noWrap w:val="false"/>
          </w:tcPr>
          <w:p>
            <w:pPr>
              <w:pStyle w:val="632"/>
              <w:jc w:val="both"/>
              <w:rPr>
                <w:sz w:val="23"/>
                <w:szCs w:val="23"/>
                <w:highlight w:val="lightGray"/>
              </w:rPr>
              <w:outlineLvl w:val="1"/>
            </w:pPr>
            <w:r>
              <w:rPr>
                <w:sz w:val="23"/>
                <w:szCs w:val="23"/>
                <w:highlight w:val="lightGray"/>
              </w:rPr>
            </w:r>
            <w:r>
              <w:rPr>
                <w:sz w:val="23"/>
                <w:szCs w:val="23"/>
                <w:highlight w:val="lightGray"/>
              </w:rPr>
            </w:r>
          </w:p>
        </w:tc>
      </w:tr>
      <w:tr>
        <w:tblPrEx/>
        <w:trPr>
          <w:trHeight w:val="230"/>
        </w:trPr>
        <w:tc>
          <w:tcPr>
            <w:gridSpan w:val="2"/>
            <w:shd w:val="clear" w:color="auto" w:fill="d9d9d9" w:themeFill="background1" w:themeFillShade="D9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center"/>
              <w:rPr>
                <w:b/>
                <w:sz w:val="23"/>
                <w:szCs w:val="23"/>
              </w:rPr>
              <w:outlineLvl w:val="1"/>
            </w:pPr>
            <w:r>
              <w:rPr>
                <w:b/>
                <w:sz w:val="23"/>
                <w:szCs w:val="23"/>
              </w:rPr>
              <w:t xml:space="preserve">Р</w:t>
            </w:r>
            <w:r>
              <w:rPr>
                <w:b/>
                <w:sz w:val="23"/>
                <w:szCs w:val="23"/>
              </w:rPr>
              <w:t xml:space="preserve">аздел I. ЧТО ЗАСТРАХОВАНО?</w:t>
            </w:r>
            <w:r>
              <w:rPr>
                <w:b/>
                <w:sz w:val="23"/>
                <w:szCs w:val="23"/>
              </w:rPr>
            </w:r>
          </w:p>
        </w:tc>
      </w:tr>
      <w:tr>
        <w:tblPrEx/>
        <w:trPr>
          <w:trHeight w:val="261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Страховые риски:</w:t>
            </w:r>
            <w:r>
              <w:rPr>
                <w:b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 xml:space="preserve">Повреждение или гибель ТС вследствие </w:t>
            </w:r>
            <w:r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 xml:space="preserve">дорожно-транспортного происшествия (</w:t>
            </w:r>
            <w:r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 xml:space="preserve">ДТП</w:t>
            </w:r>
            <w:r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 xml:space="preserve">)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Дорожно-транспортное происшествие (ДТП) – в целях настоящей Оферты это событ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ие, возникшее в процессе движения ТС, управляемого в этот момент Страхователем/Выгодоприобретателем/Водителем, по дороге, прилегающей территории или с его участием, при котором погибли или ранены люди, повреждены транспортные средства, сооружения, грузы ли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бо причинен иной материальный ущерб, произошедшее по вине лиц иных, чем Страхователь/Выгодоприобретатель/Водитель, при условии, что установлен хотя бы один виновник ДТП и его гражданская ответственность не застрахована в соответствии с Федеральным Законом </w:t>
            </w:r>
            <w:r>
              <w:rPr>
                <w:rFonts w:ascii="Times New Roman" w:hAnsi="Times New Roman" w:cs="Times New Roman"/>
                <w:bCs/>
                <w:spacing w:val="-2"/>
                <w:sz w:val="23"/>
                <w:szCs w:val="23"/>
              </w:rPr>
              <w:t xml:space="preserve">от 25.04.2002 № 40-ФЗ «Об обязательном страховании гражданской ответственности владельцев транспортных средств».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Подробнее о страховых рисках – в разделе 5 Оферты.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16303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632"/>
        <w:gridCol w:w="5671"/>
      </w:tblGrid>
      <w:tr>
        <w:tblPrEx/>
        <w:trPr>
          <w:gridAfter w:val="1"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center"/>
              <w:rPr>
                <w:b/>
                <w:sz w:val="23"/>
                <w:szCs w:val="23"/>
              </w:rPr>
              <w:outlineLvl w:val="1"/>
            </w:pPr>
            <w:r>
              <w:rPr>
                <w:b/>
                <w:sz w:val="23"/>
                <w:szCs w:val="23"/>
              </w:rPr>
              <w:t xml:space="preserve">Раздел II. ЧТО НЕ ЗАСТРАХОВАНО?</w:t>
            </w:r>
            <w:r>
              <w:rPr>
                <w:b/>
                <w:sz w:val="23"/>
                <w:szCs w:val="2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Не является страховым случаем / не подлежит возмещению следующее: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повреждение (далее под повреждением понимается также гибель) ТС в ДТП, которое произошло по вине Страхователя / Выгодоприобретателя / Водителя или по вине неустановленных третьих лиц, либо при отсутствии виновных лиц;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повреждение ТС в ДТП, которое произошло с участием только одного ТС без участия иных ТС, в т.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ч. бесконтактное ДТП, ДТП с участием животных, пешеходов, велосипедистов, вылет с трассы, наезд на препятствие, опрокидывание ТС;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повреждение ТС в ДТП, которое произошло по вине установленных третьих лиц, гражданская ответственность которых застрахована в соответствии с Федеральным законом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от 25.04.2002 № 40-ФЗ «Об обязательном страховании гражданской ответственности владельцев транспортных средств»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повреждение ТС в ДТП, в момент наступления которого застрахованным ТС управляло лицо, не отвечающее условиям Оферты;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ущерб, возникший в связи с действиями третьих лиц, не являющихся виновными участниками ДТП; иной ущерб, напрямую не связанный со страховым случаем;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6. повреждение ТС вследствие перевозки или буксировки (в т.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ч. эвакуации) застрахованного ТС каким-либо видом транспорта; перевозки или буксировки застрахованным ТС любого вида транспорта;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7. ущерб, возникший при управлении заведомо неисправным ТС, эксплуатация которого запреще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на; повреждение ТС вследствие грубой неосторожности, нарушения требований к его эксплуатации, нарушения правил пожарной безопасности, правил перевозки и хранения огнеопасных и взрывоопасных веществ и предметов, требований безопасности при перевозке грузов;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8. ущерб, возникший вследствие заводского брака или некачественно произведенного ремонта;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9. повреждение (поломка) двигателя застрахованного ТС из-за попадания внутрь воды и / или иных жидкостей (поломка двигателя из-за гидроудара);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10. повреждение ТС, вызванное естественным износом, коррозией металла, гниением частей;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11. повреждения ТС, имеющие накопительный характер, заявленные как произошедшее единовременно;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12. ущерб, причиненный дополнительному оборудованию ТС, а также элементам брендинга, аэрографии и др.; ущерб, причиненный прицепу к застрахованному ТС;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13. повреждения ТС в виде: точечных повреждений лакокрасочного покрытия без деформации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соответствующей детали (части, элемента) ТС; эксплуатационных дефектов в виде сколов, выщерблин или царапин стекол кузова или рассеивателей наружных светосигнальных приборов; повреждений стекол кузова или рассеивателей наружных светосигнальных приборов,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вызванных термическим разрушением при отсутствии следов внешнего механического воздействия; ущерб, вызванный повреждением (уничтожением) шин, колесных дисков, декоративных колпаков колес; ущерб вследствие эксплуатационных повреждений элементов выпускной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истемы, защитных панелей, днища кузова, антикоррозийного покрытия кузова, переднего и заднего мостов, трансмиссии, элементов подвески ТС в виде сколов, выщерблин, потертостей, царапин, вмятин, и иных подобных повреждений, не препятствующих эксплуатации ТС;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14. расходы на восстановление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деталей (узлов, агрегатов) застрахованного ТС, которые могли быть восстановлены, но по инициативе Страхователя / Выгодоприобретателя были заменены;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15. ущерб, причиненный находившемуся в ТС имуществу или оборудованию;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16. ущерб системам, механизмам, узлам ТС, неисправность которых привела к возникновению пожара, а также ущерб, вызванный повреждением ТС в результате подобного пожара;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17. ущерб, возникший при управлении застрахованным ТС лицом, находящимся в состоянии алкогольного или наркотического опьянения и / или под воздействием препаратов или веществ токсического или седативного действия;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18. повреждение ТС, если Страхователь / Выгодоприобретатель или лицо, допущенное к управлению ТС, оставило место ДТП, либо уклонилось от прохождения освидетел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ьствования на состояние опьянения, либо употребило алкогольные напитки, наркотические, психотропные или иные одурманивающие вещества после ДТП до прохождения указанного освидетельствования или принятия решения об освобождении от такого освидетельствования;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19. ущерб, возникший при управлении ТС лицом, не имеющим права управления, указанным в Договоре (полисе) страхования ТС, в том числе лицом, лишенным права управления ТС;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20. ущерб, возникший при умысле Страхователя, Выгодоприобретателя или Водителя, а также в результате действий или бездействия указанных лиц;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21. ущерб, возникший при использовании ТС: в целях осуществления любой профессиональной деятель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ности / деятельности, приносящей доход, в том числе использование ТС в качестве проката или городского пассажирского транспорта, «тест-драйва»; для обучения вождению, в результате участия ТС в спортивных мероприятиях, гонках, тестах, испытательных заездах;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22. ущерб, возникший при совершении или попытке совершения Страхователем, Выгодоприобретателем или Водителем, правонарушения;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23. события, произошедшие вне срока действия страхования и не на территории страхования;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24. ущерб, возникший в результате события, не подтвержденного компетентными органами и / или по которому не оформлено письменных документов;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25. события, наступившие вследствие воздействия ядерного взрыва; военных действий, а также маневров или иных военных мероприятий, забастовок;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26. изъятие, конфискация, реквизиция, арест или уничтожение застрахованного ТС по распоряжению органов государственной власти;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27.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возникновение дополнительных расходов, убытков и / или потерь;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28. любые события, если ТС застраховано по договору Каско в другой страховой организации и объем повреждений полностью покрывается этим договором;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29.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убытки, заявленные после восстановительного ремонта, выполненного без проведения Страховщиком (его представителем) предварительного осмотра ТС и оценки стоимости ремонта ТС;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иные события, не включенные в Оферту в качестве страхового случая.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212" w:leader="none"/>
                <w:tab w:val="left" w:pos="720" w:leader="none"/>
                <w:tab w:val="left" w:pos="1080" w:leader="none"/>
                <w:tab w:val="num" w:pos="1620" w:leader="none"/>
              </w:tabs>
              <w:rPr>
                <w:rFonts w:ascii="Times New Roman" w:hAnsi="Times New Roman" w:cs="Times New Roman"/>
                <w:spacing w:val="2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Исчерпывающий перечень событий, не являющихся страховым случаем (исключений из страхового покрытия), указан в разделе 6 Оферты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pacing w:val="2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Страховая выплата НЕ осуществляется, если: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а) компетентные органы / организации не подтверждают факт наступления события;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б) не предоставлены документы и сведения в соответствии с разделом 12 Оферты и/или уполномоченными органами/организациями не предоставлены затребованные документы;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в) для получения страховой выплаты представлены ложные сведения и документы;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г) Выгодоприобретатель / Страхователь не осуществил письменное информирование Страховщика о ДТП и повреждениях ТС, в том числе об обстоятельствах возникновения повреждений, произошедших в период действия Договора (полиса) страхования;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д) в иных случаях, предусмотренных Офертой / Правилами страхования и законодательством РФ.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Исчерпывающий перечень оснований для отказа в осуществлении страховой выплаты указан в разделе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Оферты.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</w:p>
        </w:tc>
        <w:tc>
          <w:tcPr>
            <w:tcW w:w="56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10632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632"/>
      </w:tblGrid>
      <w:tr>
        <w:tblPrEx/>
        <w:trPr/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center"/>
              <w:rPr>
                <w:b/>
                <w:sz w:val="23"/>
                <w:szCs w:val="23"/>
              </w:rPr>
              <w:outlineLvl w:val="1"/>
            </w:pPr>
            <w:r>
              <w:rPr>
                <w:b/>
                <w:sz w:val="23"/>
                <w:szCs w:val="23"/>
              </w:rPr>
              <w:t xml:space="preserve">Раздел III. </w:t>
            </w:r>
            <w:r>
              <w:rPr>
                <w:b/>
                <w:sz w:val="23"/>
                <w:szCs w:val="23"/>
              </w:rPr>
              <w:t xml:space="preserve">ТЕРРИТОРИЯ СТРАХОВАНИЯ</w:t>
            </w:r>
            <w:r>
              <w:rPr>
                <w:b/>
                <w:sz w:val="23"/>
                <w:szCs w:val="23"/>
              </w:rPr>
            </w:r>
          </w:p>
        </w:tc>
      </w:tr>
      <w:tr>
        <w:tblPrEx/>
        <w:trPr>
          <w:trHeight w:val="2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both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траховани</w:t>
            </w:r>
            <w:r>
              <w:rPr>
                <w:sz w:val="23"/>
                <w:szCs w:val="23"/>
              </w:rPr>
              <w:t xml:space="preserve">е</w:t>
            </w:r>
            <w:r>
              <w:rPr>
                <w:sz w:val="23"/>
                <w:szCs w:val="23"/>
              </w:rPr>
              <w:t xml:space="preserve"> действует </w:t>
            </w:r>
            <w:r>
              <w:rPr>
                <w:sz w:val="23"/>
                <w:szCs w:val="23"/>
              </w:rPr>
              <w:t xml:space="preserve">на </w:t>
            </w:r>
            <w:r>
              <w:rPr>
                <w:color w:val="000000"/>
                <w:sz w:val="23"/>
                <w:szCs w:val="23"/>
              </w:rPr>
              <w:t xml:space="preserve">всей территории Российской Федерации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за исключением </w:t>
            </w:r>
            <w:r>
              <w:rPr>
                <w:sz w:val="23"/>
                <w:szCs w:val="23"/>
              </w:rPr>
              <w:t xml:space="preserve">республики Адыгея, республики Калмыкия, республики Крым, гор</w:t>
            </w:r>
            <w:r>
              <w:rPr>
                <w:sz w:val="23"/>
                <w:szCs w:val="23"/>
              </w:rPr>
              <w:t xml:space="preserve">ода Севастополя, Северо-Кавказского федерального округа, а также за исключением территорий, на которых объявлено чрезвычайное положение или проводятся боевые действия (в т. ч. осуществляются операции против террористов, различных вооруженных формирований).</w:t>
            </w:r>
            <w:r>
              <w:rPr>
                <w:sz w:val="23"/>
                <w:szCs w:val="23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10632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632"/>
      </w:tblGrid>
      <w:tr>
        <w:tblPrEx/>
        <w:trPr/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center"/>
              <w:rPr>
                <w:b/>
                <w:sz w:val="23"/>
                <w:szCs w:val="23"/>
              </w:rPr>
              <w:outlineLvl w:val="1"/>
            </w:pPr>
            <w:r>
              <w:rPr>
                <w:b/>
                <w:sz w:val="23"/>
                <w:szCs w:val="23"/>
              </w:rPr>
              <w:t xml:space="preserve">Раздел IV. </w:t>
            </w:r>
            <w:r>
              <w:rPr>
                <w:b/>
                <w:sz w:val="23"/>
                <w:szCs w:val="23"/>
              </w:rPr>
              <w:t xml:space="preserve">КАК ПОЛУЧИТЬ СТРАХОВУЮ ВЫПЛАТУ?</w:t>
            </w:r>
            <w:r>
              <w:rPr>
                <w:b/>
                <w:sz w:val="23"/>
                <w:szCs w:val="23"/>
              </w:rPr>
            </w:r>
          </w:p>
        </w:tc>
      </w:tr>
      <w:tr>
        <w:tblPrEx/>
        <w:trPr>
          <w:trHeight w:val="1153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both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Для получения страховой выплаты (страхового возмещения) требуется представить документы, указанные в разделе 1</w:t>
            </w: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 Оферты.</w:t>
            </w:r>
            <w:r>
              <w:rPr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Страховая выплата (страховое возмещение) осуществляется в течение 15 рабочих дней со дня, следующего за днем получения Страховщиком полного пакета надлежащим образом оформленных документов.</w:t>
            </w:r>
            <w:r>
              <w:rPr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Порядок осуществления страховой выплаты (страхового возмещения) указан в разделе </w:t>
            </w:r>
            <w:r>
              <w:rPr>
                <w:sz w:val="23"/>
                <w:szCs w:val="23"/>
              </w:rPr>
              <w:t xml:space="preserve">9</w:t>
            </w:r>
            <w:r>
              <w:rPr>
                <w:sz w:val="23"/>
                <w:szCs w:val="23"/>
              </w:rPr>
              <w:t xml:space="preserve"> Оферты.</w:t>
            </w:r>
            <w:r>
              <w:rPr>
                <w:sz w:val="23"/>
                <w:szCs w:val="23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tbl>
      <w:tblPr>
        <w:tblW w:w="10632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813"/>
        <w:gridCol w:w="4819"/>
      </w:tblGrid>
      <w:tr>
        <w:tblPrEx/>
        <w:trPr/>
        <w:tc>
          <w:tcPr>
            <w:gridSpan w:val="2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center"/>
              <w:rPr>
                <w:b/>
                <w:sz w:val="23"/>
                <w:szCs w:val="23"/>
              </w:rPr>
              <w:outlineLvl w:val="1"/>
            </w:pPr>
            <w:r>
              <w:rPr>
                <w:b/>
                <w:sz w:val="23"/>
                <w:szCs w:val="23"/>
              </w:rPr>
              <w:t xml:space="preserve">Раздел V. </w:t>
            </w:r>
            <w:r>
              <w:rPr>
                <w:b/>
                <w:sz w:val="23"/>
                <w:szCs w:val="23"/>
              </w:rPr>
              <w:t xml:space="preserve">КАК ВЕРНУТЬ СТРАХОВУЮ ПРЕМИЮ?</w:t>
            </w:r>
            <w:r>
              <w:rPr>
                <w:b/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3" w:type="dxa"/>
            <w:textDirection w:val="lrTb"/>
            <w:noWrap w:val="false"/>
          </w:tcPr>
          <w:p>
            <w:pPr>
              <w:pStyle w:val="6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Основания для возврата страховой премии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pStyle w:val="6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возврата страховой премии</w:t>
            </w:r>
            <w:r>
              <w:rPr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3" w:type="dxa"/>
            <w:textDirection w:val="lrTb"/>
            <w:noWrap w:val="false"/>
          </w:tcPr>
          <w:p>
            <w:pPr>
              <w:pStyle w:val="6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Отказ </w:t>
            </w:r>
            <w:r>
              <w:rPr>
                <w:sz w:val="23"/>
                <w:szCs w:val="23"/>
              </w:rPr>
              <w:t xml:space="preserve">от договора добровольного страхования </w:t>
            </w:r>
            <w:r>
              <w:rPr>
                <w:sz w:val="23"/>
                <w:szCs w:val="23"/>
              </w:rPr>
              <w:t xml:space="preserve">в течение 14 календарных дней со дня </w:t>
            </w:r>
            <w:r>
              <w:rPr>
                <w:sz w:val="23"/>
                <w:szCs w:val="23"/>
              </w:rPr>
              <w:t xml:space="preserve">его заключения</w:t>
            </w:r>
            <w:r>
              <w:rPr>
                <w:sz w:val="23"/>
                <w:szCs w:val="23"/>
              </w:rPr>
              <w:t xml:space="preserve"> в соответствии с Указанием Банка России от 20.11.2015 года №3854-У «О минимальных (стандартных) требованиях к условиям и порядку осуществления отдельных видов добровольного страхования»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63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от страховой премии</w:t>
            </w:r>
            <w:r>
              <w:rPr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3" w:type="dxa"/>
            <w:textDirection w:val="lrTb"/>
            <w:noWrap w:val="false"/>
          </w:tcPr>
          <w:p>
            <w:pPr>
              <w:pStyle w:val="6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Отказ </w:t>
            </w:r>
            <w:r>
              <w:rPr>
                <w:sz w:val="23"/>
                <w:szCs w:val="23"/>
              </w:rPr>
              <w:t xml:space="preserve">от договора добровольного страхования </w:t>
            </w:r>
            <w:r>
              <w:rPr>
                <w:sz w:val="23"/>
                <w:szCs w:val="23"/>
              </w:rPr>
              <w:t xml:space="preserve">в случае ненадлежащего информирования об условиях страхования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632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от страховой премии за вычетом части страховой премии, исчисляемой пропорционально времени, в течение которого действовало страхование</w:t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blPrEx/>
        <w:trPr>
          <w:trHeight w:val="679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813" w:type="dxa"/>
            <w:textDirection w:val="lrTb"/>
            <w:noWrap w:val="false"/>
          </w:tcPr>
          <w:p>
            <w:pPr>
              <w:pStyle w:val="6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наступления страхового случая отпала, и существование страхового риска прекратилось по обстоятельствам иным, чем страховой случай (п. 1 ст. 958 ГК РФ)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pStyle w:val="632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от страховой премии за вычетом расходов на ведение дела в размере 40%, за вычетом части страховой премии, исчисляемой пропорционально времени, в течение которого действовало страхование.</w:t>
            </w:r>
            <w:r>
              <w:rPr>
                <w:b/>
                <w:bCs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center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В иных случаях страховая премия возврату не подлежит.</w:t>
            </w:r>
            <w:r>
              <w:rPr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both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Возврат страховой премии осуществляется в течение 7 рабочих дней со дня получения соответствующего заявления.</w:t>
            </w:r>
            <w:r>
              <w:rPr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center"/>
              <w:rPr>
                <w:b/>
                <w:sz w:val="23"/>
                <w:szCs w:val="23"/>
              </w:rPr>
              <w:outlineLvl w:val="1"/>
            </w:pPr>
            <w:r>
              <w:rPr>
                <w:b/>
                <w:sz w:val="23"/>
                <w:szCs w:val="23"/>
              </w:rPr>
              <w:t xml:space="preserve">Раздел VI. КАК УРЕГУЛИРОВАТЬ СПОР ДО СУДА?</w:t>
            </w:r>
            <w:r>
              <w:rPr>
                <w:b/>
                <w:sz w:val="23"/>
                <w:szCs w:val="23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pStyle w:val="6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Направить Страховщику заявление (претензию) в письменной форме.</w:t>
            </w:r>
            <w:r>
              <w:rPr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2. Если Страховщик не удовлетворил заявление (претензию), при этом размер требований не превышает 500 000,00 рублей, до обращения в суд необходимо обратиться к уполномоченному по правам потребителей финансовых услуг:</w:t>
            </w:r>
            <w:r>
              <w:rPr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сайт: www.finombudsman.ru;</w:t>
            </w:r>
            <w:r>
              <w:rPr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Адрес: 119017, г. Москва, Старомонетный пер., дом 3.</w:t>
            </w:r>
            <w:r>
              <w:rPr>
                <w:sz w:val="23"/>
                <w:szCs w:val="23"/>
              </w:rPr>
            </w:r>
          </w:p>
          <w:p>
            <w:pPr>
              <w:pStyle w:val="632"/>
              <w:jc w:val="both"/>
              <w:rPr>
                <w:sz w:val="23"/>
                <w:szCs w:val="23"/>
              </w:rPr>
              <w:outlineLvl w:val="1"/>
            </w:pPr>
            <w:r>
              <w:rPr>
                <w:sz w:val="23"/>
                <w:szCs w:val="23"/>
              </w:rPr>
              <w:t xml:space="preserve">Рассмотрение уполномоченным по правам потребителей финансовых услуг обращения потребителя финансовых услуг осуществляется бесплатно.</w:t>
            </w:r>
            <w:r>
              <w:rPr>
                <w:sz w:val="23"/>
                <w:szCs w:val="23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sectPr>
      <w:footnotePr/>
      <w:endnotePr/>
      <w:type w:val="nextPage"/>
      <w:pgSz w:w="11906" w:h="16838" w:orient="portrait"/>
      <w:pgMar w:top="709" w:right="566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360" w:hanging="360"/>
        <w:tabs>
          <w:tab w:val="num" w:pos="0" w:leader="none"/>
        </w:tabs>
      </w:pPr>
      <w:rPr>
        <w:rFonts w:hint="default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8"/>
    <w:link w:val="62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8"/>
    <w:link w:val="62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5"/>
    <w:next w:val="62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paragraph" w:styleId="626">
    <w:name w:val="Heading 2"/>
    <w:basedOn w:val="625"/>
    <w:next w:val="625"/>
    <w:link w:val="640"/>
    <w:uiPriority w:val="99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627">
    <w:name w:val="Heading 3"/>
    <w:basedOn w:val="625"/>
    <w:next w:val="625"/>
    <w:link w:val="643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table" w:styleId="631">
    <w:name w:val="Table Grid"/>
    <w:basedOn w:val="6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32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33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634" w:customStyle="1">
    <w:name w:val="заголовок 1"/>
    <w:basedOn w:val="625"/>
    <w:next w:val="625"/>
    <w:pPr>
      <w:jc w:val="center"/>
      <w:keepNext/>
      <w:spacing w:after="0" w:line="240" w:lineRule="auto"/>
      <w:tabs>
        <w:tab w:val="left" w:pos="0" w:leader="none"/>
        <w:tab w:val="left" w:pos="2552" w:leader="none"/>
      </w:tabs>
    </w:pPr>
    <w:rPr>
      <w:rFonts w:ascii="Times New Roman" w:hAnsi="Times New Roman" w:eastAsia="Times New Roman" w:cs="Times New Roman"/>
      <w:b/>
      <w:bCs/>
      <w:sz w:val="20"/>
      <w:szCs w:val="24"/>
      <w:lang w:eastAsia="ru-RU"/>
    </w:rPr>
  </w:style>
  <w:style w:type="paragraph" w:styleId="635">
    <w:name w:val="List Paragraph"/>
    <w:basedOn w:val="625"/>
    <w:link w:val="644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6">
    <w:name w:val="Hyperlink"/>
    <w:uiPriority w:val="99"/>
    <w:rPr>
      <w:color w:val="0000ff"/>
      <w:u w:val="single"/>
    </w:rPr>
  </w:style>
  <w:style w:type="paragraph" w:styleId="637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638">
    <w:name w:val="Balloon Text"/>
    <w:basedOn w:val="625"/>
    <w:link w:val="6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9" w:customStyle="1">
    <w:name w:val="Текст выноски Знак"/>
    <w:basedOn w:val="628"/>
    <w:link w:val="638"/>
    <w:uiPriority w:val="99"/>
    <w:semiHidden/>
    <w:rPr>
      <w:rFonts w:ascii="Tahoma" w:hAnsi="Tahoma" w:cs="Tahoma"/>
      <w:sz w:val="16"/>
      <w:szCs w:val="16"/>
    </w:rPr>
  </w:style>
  <w:style w:type="character" w:styleId="640" w:customStyle="1">
    <w:name w:val="Заголовок 2 Знак"/>
    <w:basedOn w:val="628"/>
    <w:link w:val="626"/>
    <w:uiPriority w:val="9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641">
    <w:name w:val="Body Text Indent 2"/>
    <w:basedOn w:val="625"/>
    <w:link w:val="642"/>
    <w:uiPriority w:val="99"/>
    <w:unhideWhenUsed/>
    <w:pPr>
      <w:ind w:left="283"/>
      <w:spacing w:after="120" w:line="480" w:lineRule="auto"/>
    </w:pPr>
    <w:rPr>
      <w:rFonts w:ascii="Verdana" w:hAnsi="Verdana" w:eastAsia="Calibri" w:cs="Times New Roman"/>
      <w:sz w:val="24"/>
      <w:szCs w:val="24"/>
      <w:lang w:eastAsia="ru-RU"/>
    </w:rPr>
  </w:style>
  <w:style w:type="character" w:styleId="642" w:customStyle="1">
    <w:name w:val="Основной текст с отступом 2 Знак"/>
    <w:basedOn w:val="628"/>
    <w:link w:val="641"/>
    <w:uiPriority w:val="99"/>
    <w:rPr>
      <w:rFonts w:ascii="Verdana" w:hAnsi="Verdana" w:eastAsia="Calibri" w:cs="Times New Roman"/>
      <w:sz w:val="24"/>
      <w:szCs w:val="24"/>
      <w:lang w:eastAsia="ru-RU"/>
    </w:rPr>
  </w:style>
  <w:style w:type="character" w:styleId="643" w:customStyle="1">
    <w:name w:val="Заголовок 3 Знак"/>
    <w:basedOn w:val="628"/>
    <w:link w:val="627"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44" w:customStyle="1">
    <w:name w:val="Абзац списка Знак"/>
    <w:link w:val="635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5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mailto:info@d2insu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9AAAF-F921-493F-938A-E17701AA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Анастасия Колечкова</cp:lastModifiedBy>
  <cp:revision>3</cp:revision>
  <dcterms:created xsi:type="dcterms:W3CDTF">2023-04-11T09:30:00Z</dcterms:created>
  <dcterms:modified xsi:type="dcterms:W3CDTF">2025-03-18T09:26:51Z</dcterms:modified>
</cp:coreProperties>
</file>