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97"/>
        <w:tblpPr w:horzAnchor="margin" w:tblpXSpec="center" w:vertAnchor="margin" w:tblpY="-238" w:leftFromText="180" w:topFromText="0" w:rightFromText="180" w:bottomFromText="0"/>
        <w:tblW w:w="10456" w:type="dxa"/>
        <w:tblLayout w:type="fixed"/>
        <w:tblLook w:val="04A0" w:firstRow="1" w:lastRow="0" w:firstColumn="1" w:lastColumn="0" w:noHBand="0" w:noVBand="1"/>
      </w:tblPr>
      <w:tblGrid>
        <w:gridCol w:w="5920"/>
        <w:gridCol w:w="2131"/>
        <w:gridCol w:w="236"/>
        <w:gridCol w:w="2169"/>
      </w:tblGrid>
      <w:tr>
        <w:tblPrEx/>
        <w:trPr>
          <w:trHeight w:val="211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Ключевой информационный документ об условиях договора добровольного страхования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Антиклещ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Расширенный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 на основании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Публичной оферты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заключении договора (полиса) страхования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Антиклещ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Расширенный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(далее - Оферта)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Правил добровольного медицинского страхования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редакциях, действующих на дату заключения договора добровольного страхования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213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/>
            <w:bookmarkStart w:id="0" w:name="Par260"/>
            <w:r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35025" cy="1238250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09522660" name="Рисунок 1909522660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35610" cy="123883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97.25pt;height:97.50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6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0155" cy="1238250"/>
                      <wp:effectExtent l="0" t="0" r="0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5040361" name="Рисунок 3504036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40155" cy="12382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97.65pt;height:97.50pt;mso-wrap-distance-left:0.00pt;mso-wrap-distance-top:0.00pt;mso-wrap-distance-right:0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0490" w:type="dxa"/>
        <w:tblInd w:w="-8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285"/>
        <w:gridCol w:w="5205"/>
      </w:tblGrid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90" w:type="dxa"/>
            <w:textDirection w:val="lrTb"/>
            <w:noWrap w:val="false"/>
          </w:tcPr>
          <w:p>
            <w:pPr>
              <w:pStyle w:val="69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СТРАХОВЩИК: </w:t>
            </w:r>
            <w:r>
              <w:rPr>
                <w:sz w:val="20"/>
                <w:szCs w:val="20"/>
              </w:rPr>
              <w:t xml:space="preserve">АО «Д2 СТРАХОВАНИЕ»</w:t>
            </w:r>
            <w:r>
              <w:rPr>
                <w:sz w:val="20"/>
                <w:szCs w:val="20"/>
              </w:rPr>
            </w:r>
          </w:p>
          <w:p>
            <w:pPr>
              <w:pStyle w:val="698"/>
              <w:jc w:val="both"/>
              <w:rPr>
                <w:sz w:val="20"/>
                <w:szCs w:val="20"/>
              </w:rPr>
              <w:outlineLvl w:val="1"/>
            </w:pPr>
            <w:r>
              <w:rPr>
                <w:sz w:val="20"/>
                <w:szCs w:val="20"/>
              </w:rPr>
              <w:t xml:space="preserve">630099, Новосибирск, ул. Депутатская, д. 2, </w:t>
            </w:r>
            <w:r>
              <w:rPr>
                <w:sz w:val="20"/>
                <w:szCs w:val="20"/>
              </w:rPr>
              <w:t xml:space="preserve">помещ</w:t>
            </w:r>
            <w:r>
              <w:rPr>
                <w:sz w:val="20"/>
                <w:szCs w:val="20"/>
              </w:rPr>
              <w:t xml:space="preserve">. 1. Адрес электронной почты </w:t>
            </w:r>
            <w:hyperlink r:id="rId13" w:tooltip="mailto:info@d2insur.ru" w:history="1">
              <w:r>
                <w:rPr>
                  <w:rStyle w:val="702"/>
                  <w:sz w:val="20"/>
                  <w:szCs w:val="20"/>
                  <w:lang w:val="en-US"/>
                </w:rPr>
                <w:t xml:space="preserve">info</w:t>
              </w:r>
              <w:r>
                <w:rPr>
                  <w:rStyle w:val="702"/>
                  <w:sz w:val="20"/>
                  <w:szCs w:val="20"/>
                </w:rPr>
                <w:t xml:space="preserve">@d2insur.ru</w:t>
              </w:r>
            </w:hyperlink>
            <w:r/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1"/>
        </w:trPr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5285" w:type="dxa"/>
            <w:textDirection w:val="lrTb"/>
            <w:noWrap w:val="false"/>
          </w:tcPr>
          <w:p>
            <w:pPr>
              <w:pStyle w:val="6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bottom w:val="single" w:color="000000" w:themeColor="text1" w:sz="4" w:space="0"/>
            </w:tcBorders>
            <w:tcW w:w="5205" w:type="dxa"/>
            <w:textDirection w:val="lrTb"/>
            <w:noWrap w:val="false"/>
          </w:tcPr>
          <w:p>
            <w:pPr>
              <w:pStyle w:val="698"/>
              <w:jc w:val="both"/>
              <w:rPr>
                <w:sz w:val="20"/>
                <w:szCs w:val="20"/>
                <w:highlight w:val="lightGray"/>
              </w:rPr>
              <w:outlineLvl w:val="1"/>
            </w:pPr>
            <w:r>
              <w:rPr>
                <w:sz w:val="20"/>
                <w:szCs w:val="20"/>
                <w:highlight w:val="lightGray"/>
              </w:rPr>
            </w:r>
            <w:r>
              <w:rPr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230"/>
        </w:trPr>
        <w:tc>
          <w:tcPr>
            <w:gridSpan w:val="2"/>
            <w:shd w:val="clear" w:color="auto" w:fill="d9d9d9" w:themeFill="background1" w:themeFillShade="D9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90" w:type="dxa"/>
            <w:textDirection w:val="lrTb"/>
            <w:noWrap w:val="false"/>
          </w:tcPr>
          <w:p>
            <w:pPr>
              <w:pStyle w:val="698"/>
              <w:jc w:val="center"/>
              <w:rPr>
                <w:b/>
                <w:sz w:val="20"/>
                <w:szCs w:val="20"/>
              </w:rPr>
              <w:outlineLvl w:val="1"/>
            </w:pPr>
            <w:r>
              <w:rPr>
                <w:b/>
                <w:sz w:val="20"/>
                <w:szCs w:val="20"/>
              </w:rPr>
              <w:t xml:space="preserve">Раздел I. ЧТО ЗАСТРАХОВАНО?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176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90" w:type="dxa"/>
            <w:textDirection w:val="lrTb"/>
            <w:noWrap w:val="false"/>
          </w:tcPr>
          <w:p>
            <w:pPr>
              <w:pStyle w:val="6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Страховые риски: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tabs>
                <w:tab w:val="center" w:pos="-99" w:leader="none"/>
                <w:tab w:val="center" w:pos="326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Обращение Застрахованного в медицинское учреждение по поводу укуса или наползания клеща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(для всех пакетов)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tabs>
                <w:tab w:val="center" w:pos="-99" w:leader="none"/>
                <w:tab w:val="center" w:pos="326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bookmarkStart w:id="1" w:name="_Ref10697765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Обращение Застрахованного в медицинское учреждение по поводу заболевания клещевым энцефалитом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боррелиозом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(болезнью Лайма)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эрлихиозом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анаплазмозом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пакетов «Оптимум 12», «Оптимум 24»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tabs>
                <w:tab w:val="center" w:pos="-99" w:leader="none"/>
                <w:tab w:val="center" w:pos="326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Обращение Застрахованного в медицинское учреждение по поводу заболевания клещевым энцефалитом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боррелиозом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(болезнью Лайма)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эрлихиозом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анаплазмозом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клещевой возвратной лихорадкой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риккетсиозом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бабезиозом</w:t>
            </w:r>
            <w:r>
              <w:rPr>
                <w:rStyle w:val="718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(для пакетов «Максимум 12», «Максимум 24»)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Подробнее о страховых рисках – в разделе 6 Оферты.</w:t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0490" w:type="dxa"/>
        <w:tblInd w:w="-8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490"/>
      </w:tblGrid>
      <w:tr>
        <w:tblPrEx/>
        <w:trPr/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90" w:type="dxa"/>
            <w:textDirection w:val="lrTb"/>
            <w:noWrap w:val="false"/>
          </w:tcPr>
          <w:p>
            <w:pPr>
              <w:pStyle w:val="698"/>
              <w:jc w:val="center"/>
              <w:rPr>
                <w:b/>
                <w:sz w:val="20"/>
                <w:szCs w:val="20"/>
              </w:rPr>
              <w:outlineLvl w:val="1"/>
            </w:pPr>
            <w:r>
              <w:rPr>
                <w:b/>
                <w:sz w:val="20"/>
                <w:szCs w:val="20"/>
              </w:rPr>
              <w:t xml:space="preserve">Раздел II. ЧТО НЕ ЗАСТРАХОВАНО?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90" w:type="dxa"/>
            <w:textDirection w:val="lrTb"/>
            <w:noWrap w:val="false"/>
          </w:tcPr>
          <w:p>
            <w:pPr>
              <w:pStyle w:val="698"/>
              <w:jc w:val="both"/>
              <w:rPr>
                <w:sz w:val="20"/>
                <w:szCs w:val="20"/>
              </w:rPr>
              <w:outlineLvl w:val="1"/>
            </w:pPr>
            <w:r>
              <w:rPr>
                <w:sz w:val="20"/>
                <w:szCs w:val="20"/>
              </w:rPr>
              <w:t xml:space="preserve">1. События не являются </w:t>
            </w:r>
            <w:r>
              <w:rPr>
                <w:sz w:val="20"/>
                <w:szCs w:val="20"/>
              </w:rPr>
              <w:t xml:space="preserve">страховым случаем</w:t>
            </w:r>
            <w:r>
              <w:rPr>
                <w:sz w:val="20"/>
                <w:szCs w:val="20"/>
              </w:rPr>
              <w:t xml:space="preserve"> и страховая выплата по ним не производится,</w:t>
            </w:r>
            <w:r>
              <w:rPr>
                <w:color w:val="000000"/>
                <w:sz w:val="20"/>
                <w:szCs w:val="20"/>
              </w:rPr>
              <w:t xml:space="preserve"> если они произошли вследствие </w:t>
            </w:r>
            <w:r>
              <w:rPr>
                <w:spacing w:val="2"/>
                <w:sz w:val="20"/>
                <w:szCs w:val="20"/>
              </w:rPr>
              <w:t xml:space="preserve">и / или в связи со следующими обстоятельствами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</w:p>
          <w:p>
            <w:pPr>
              <w:pStyle w:val="698"/>
              <w:jc w:val="both"/>
              <w:rPr>
                <w:bCs/>
                <w:iCs/>
                <w:sz w:val="20"/>
                <w:szCs w:val="20"/>
              </w:rPr>
              <w:outlineLvl w:val="1"/>
            </w:pPr>
            <w:r>
              <w:rPr>
                <w:sz w:val="20"/>
                <w:szCs w:val="20"/>
              </w:rPr>
              <w:t xml:space="preserve">1.1. Обращением в медицинское учреждение с нарушением условий п. 10.1. Оферты</w:t>
            </w:r>
            <w:r>
              <w:rPr>
                <w:bCs/>
                <w:iCs/>
                <w:sz w:val="20"/>
                <w:szCs w:val="20"/>
              </w:rPr>
              <w:t xml:space="preserve">;</w:t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pStyle w:val="701"/>
              <w:ind w:left="0"/>
              <w:jc w:val="both"/>
              <w:tabs>
                <w:tab w:val="left" w:pos="284" w:leader="none"/>
                <w:tab w:val="left" w:pos="426" w:leader="none"/>
              </w:tabs>
              <w:rPr>
                <w:rFonts w:eastAsia="Calibri"/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Обращением за медицинской</w:t>
            </w:r>
            <w:r>
              <w:rPr>
                <w:sz w:val="20"/>
                <w:szCs w:val="20"/>
              </w:rPr>
              <w:t xml:space="preserve"> / лекарственной</w:t>
            </w:r>
            <w:r>
              <w:rPr>
                <w:sz w:val="20"/>
                <w:szCs w:val="20"/>
              </w:rPr>
              <w:t xml:space="preserve"> помощью по поводу укуса или наползания клеща до начала срока действия страхования;</w:t>
            </w:r>
            <w:r>
              <w:rPr>
                <w:rFonts w:eastAsia="Calibri"/>
                <w:caps/>
                <w:sz w:val="20"/>
                <w:szCs w:val="20"/>
              </w:rPr>
            </w:r>
          </w:p>
          <w:p>
            <w:pPr>
              <w:pStyle w:val="701"/>
              <w:ind w:left="0"/>
              <w:jc w:val="both"/>
              <w:tabs>
                <w:tab w:val="left" w:pos="426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Заболеванием клещевым энцефалитом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 боррелиозом</w:t>
            </w:r>
            <w:r>
              <w:rPr>
                <w:sz w:val="20"/>
                <w:szCs w:val="20"/>
              </w:rPr>
              <w:t xml:space="preserve"> (болезнью Лайма)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 эрлихиозом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 анаплазмозом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(а также </w:t>
            </w:r>
            <w:r>
              <w:rPr>
                <w:sz w:val="20"/>
                <w:szCs w:val="20"/>
              </w:rPr>
              <w:t xml:space="preserve">клещевой возвратной лихорадкой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риккетсиозом</w:t>
            </w:r>
            <w:r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 xml:space="preserve"> бабезиозом </w:t>
            </w:r>
            <w:r>
              <w:rPr>
                <w:sz w:val="20"/>
                <w:szCs w:val="20"/>
              </w:rPr>
              <w:t xml:space="preserve">– для пакетов «Максимум 12», «Максимум 24»)</w:t>
            </w:r>
            <w:r>
              <w:rPr>
                <w:sz w:val="20"/>
                <w:szCs w:val="20"/>
              </w:rPr>
              <w:t xml:space="preserve">, наступившим до начала срока действия страхования;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701"/>
              <w:ind w:left="0"/>
              <w:jc w:val="both"/>
              <w:tabs>
                <w:tab w:val="left" w:pos="426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 Оплатой сервисных услуг и маломестных палат при стационарном лечении;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701"/>
              <w:ind w:left="0"/>
              <w:jc w:val="both"/>
              <w:tabs>
                <w:tab w:val="left" w:pos="426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1.5. Вве</w:t>
            </w:r>
            <w:r>
              <w:rPr>
                <w:sz w:val="20"/>
                <w:szCs w:val="20"/>
              </w:rPr>
              <w:t xml:space="preserve">дением противоклещевого иммуноглобулина без проведения предварительного (до введения иммуноглобулина) исследования клеща и без выявления по результатам этого исследования вируса клещевого энцефалита за исключением случаев, указанных в п. 10.2.1. в) Оферты;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701"/>
              <w:ind w:left="0"/>
              <w:jc w:val="both"/>
              <w:tabs>
                <w:tab w:val="left" w:pos="426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 Введением противоклещевого иммуноглобулина по истечении 72 часов после укуса клеща;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1.7. Заболеванием клещевым энцефалитом, в случае если не была проведена экстренная профилактическая иммунизация противоклещевым иммуноглобулином или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проведена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с нарушением сроков (по истечении 72 часов после укуса клеща) за исключением случаев, когда в регионе нахождения Застрахованного у медицинских учреждений отсутствует иммуноглобулин для проведения экстренной профилактической иммунизации либо Застрахованн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по состоянию здоровья не мог обратиться в медицинское учреждение для проведения экстренной профилактической иммунизации противоклещевым иммуноглобулином, что подтверждается соответствующим документом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698"/>
              <w:jc w:val="both"/>
              <w:rPr>
                <w:sz w:val="20"/>
                <w:szCs w:val="20"/>
              </w:rPr>
              <w:outlineLvl w:val="1"/>
            </w:pPr>
            <w:r>
              <w:rPr>
                <w:rFonts w:eastAsia="Times New Roman"/>
                <w:sz w:val="20"/>
                <w:szCs w:val="20"/>
              </w:rPr>
              <w:t xml:space="preserve">1.</w:t>
            </w:r>
            <w:r>
              <w:rPr>
                <w:rFonts w:eastAsia="Times New Roman"/>
                <w:sz w:val="20"/>
                <w:szCs w:val="20"/>
              </w:rPr>
              <w:t xml:space="preserve">8</w:t>
            </w:r>
            <w:r>
              <w:rPr>
                <w:rFonts w:eastAsia="Times New Roman"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 xml:space="preserve">Проведением медицинских процедур, приобретением лекарственных препаратов без назначения врача</w:t>
            </w:r>
            <w:r>
              <w:rPr>
                <w:bCs/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1.9. Проведением медицинских процедур, приобретением лекарственных препаратов по поводу гнойно-септических осложнений, связанных с удалением клеща вне медицинских учреждений;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1.10. Проведением медицинских процедур, приобретением лекарственных препаратов по поводу заболеваний центральной нервной системы, вызванных другими вирусными инфекциями; заболеваний, требующих нейрохирургических методов лечения;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1.11. Оплатой лекарственных препаратов, не относящихся к специфическому лечению вирусного энцефалита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боррелиоза (болезни Лайма)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эрлихиоза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анаплазмоза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(а также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клещевой возвратной лихорадки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риккетсиоза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бабезиоза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для пакетов «Максимум 12», «Максимум 24»)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Исчерпывающий перечень событий, не являющихся страховым случаем (исключений из страхового покрытия) указан 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разделе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Оферты.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98"/>
              <w:jc w:val="both"/>
              <w:rPr>
                <w:sz w:val="20"/>
                <w:szCs w:val="20"/>
              </w:rPr>
              <w:outlineLvl w:val="1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98"/>
              <w:jc w:val="both"/>
              <w:rPr>
                <w:rFonts w:eastAsia="Calibri"/>
                <w:caps/>
                <w:color w:val="000000"/>
                <w:sz w:val="20"/>
                <w:szCs w:val="20"/>
              </w:rPr>
              <w:outlineLvl w:val="1"/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color w:val="000000"/>
                <w:sz w:val="20"/>
                <w:szCs w:val="20"/>
              </w:rPr>
              <w:t xml:space="preserve">Страховая выплата НЕ осуществляется, если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rFonts w:eastAsia="Calibri"/>
                <w:caps/>
                <w:color w:val="000000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 Выгодоприобретателем не предоставлены документы и сведения в соответствии с разделом 12 Оферты и / или уполномоченными органами не предоставлены обоснованно затребованные Страховщиком документы;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2.2. Застрахованн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отказывается пройти медицинское освидетельствование по требованию Страховщика;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426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2.3. Выгодоприобретателем предоставлены для получения страховой выплаты ложные сведения и документы. В этом случае Страховщик отказывает в выплате, независимо от того, что событие, имевшее место в действительности, может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быть квалифицировано как страховой случай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Исчерпывающий перечень оснований для отказа в осуществлении страховой выплаты указан в разделе 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Оферты.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0490" w:type="dxa"/>
        <w:tblInd w:w="-8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490"/>
      </w:tblGrid>
      <w:tr>
        <w:tblPrEx/>
        <w:trPr/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90" w:type="dxa"/>
            <w:textDirection w:val="lrTb"/>
            <w:noWrap w:val="false"/>
          </w:tcPr>
          <w:p>
            <w:pPr>
              <w:pStyle w:val="698"/>
              <w:jc w:val="center"/>
              <w:rPr>
                <w:b/>
                <w:sz w:val="20"/>
                <w:szCs w:val="20"/>
              </w:rPr>
              <w:outlineLvl w:val="1"/>
            </w:pPr>
            <w:r>
              <w:rPr>
                <w:b/>
                <w:sz w:val="20"/>
                <w:szCs w:val="20"/>
              </w:rPr>
              <w:t xml:space="preserve">Раздел III. ТЕРРИТОРИЯ СТРАХОВАНИЯ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90" w:type="dxa"/>
            <w:textDirection w:val="lrTb"/>
            <w:noWrap w:val="false"/>
          </w:tcPr>
          <w:p>
            <w:pPr>
              <w:pStyle w:val="698"/>
              <w:jc w:val="both"/>
              <w:rPr>
                <w:sz w:val="20"/>
                <w:szCs w:val="20"/>
              </w:rPr>
              <w:outlineLvl w:val="1"/>
            </w:pPr>
            <w:r>
              <w:rPr>
                <w:sz w:val="20"/>
                <w:szCs w:val="20"/>
              </w:rPr>
              <w:t xml:space="preserve">Страхование действует на </w:t>
            </w:r>
            <w:r>
              <w:rPr>
                <w:sz w:val="20"/>
                <w:szCs w:val="20"/>
              </w:rPr>
              <w:t xml:space="preserve">всей территории РФ.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0490" w:type="dxa"/>
        <w:tblInd w:w="-8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490"/>
      </w:tblGrid>
      <w:tr>
        <w:tblPrEx/>
        <w:trPr/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90" w:type="dxa"/>
            <w:textDirection w:val="lrTb"/>
            <w:noWrap w:val="false"/>
          </w:tcPr>
          <w:p>
            <w:pPr>
              <w:pStyle w:val="698"/>
              <w:jc w:val="center"/>
              <w:rPr>
                <w:b/>
                <w:sz w:val="20"/>
                <w:szCs w:val="20"/>
              </w:rPr>
              <w:outlineLvl w:val="1"/>
            </w:pPr>
            <w:r>
              <w:rPr>
                <w:b/>
                <w:sz w:val="20"/>
                <w:szCs w:val="20"/>
              </w:rPr>
              <w:t xml:space="preserve">Раздел IV. КАК ПОЛУЧИТЬ СТРАХОВУЮ ВЫПЛАТУ?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1477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10490" w:type="dxa"/>
            <w:textDirection w:val="lrTb"/>
            <w:noWrap w:val="false"/>
          </w:tcPr>
          <w:p>
            <w:pPr>
              <w:pStyle w:val="698"/>
              <w:jc w:val="both"/>
              <w:rPr>
                <w:sz w:val="20"/>
                <w:szCs w:val="20"/>
              </w:rPr>
              <w:outlineLvl w:val="1"/>
            </w:pPr>
            <w:r>
              <w:rPr>
                <w:sz w:val="20"/>
                <w:szCs w:val="20"/>
              </w:rPr>
              <w:t xml:space="preserve">Лицо, которое понесло расходы на оплату медицинских услуг Застрахованному / лекарственных препаратов для Застрахованного в соответствии с п. 10.2.2. Оферты, вправе обратиться к Страховщику за получением страховой выплаты (страхового возмещения).  </w:t>
            </w:r>
            <w:r>
              <w:rPr>
                <w:sz w:val="20"/>
                <w:szCs w:val="20"/>
              </w:rPr>
            </w:r>
          </w:p>
          <w:p>
            <w:pPr>
              <w:pStyle w:val="698"/>
              <w:jc w:val="both"/>
              <w:rPr>
                <w:sz w:val="20"/>
                <w:szCs w:val="20"/>
              </w:rPr>
              <w:outlineLvl w:val="1"/>
            </w:pPr>
            <w:r>
              <w:rPr>
                <w:sz w:val="20"/>
                <w:szCs w:val="20"/>
              </w:rPr>
              <w:t xml:space="preserve">Для получения страховой выплаты (страхового возмещения) требуется представить документы, указанные в разделе 12 Оферты.</w:t>
            </w:r>
            <w:r>
              <w:rPr>
                <w:sz w:val="20"/>
                <w:szCs w:val="20"/>
              </w:rPr>
            </w:r>
          </w:p>
          <w:p>
            <w:pPr>
              <w:pStyle w:val="698"/>
              <w:jc w:val="both"/>
              <w:rPr>
                <w:sz w:val="20"/>
                <w:szCs w:val="20"/>
              </w:rPr>
              <w:outlineLvl w:val="1"/>
            </w:pPr>
            <w:r>
              <w:rPr>
                <w:sz w:val="20"/>
                <w:szCs w:val="20"/>
              </w:rPr>
              <w:t xml:space="preserve">Страховая выплата (страховое возмещение) осуществляется в течение 1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 рабочих дней со дня, следующего за днем получения Страховщиком полного пакета надлежащим образом оформленных документов.</w:t>
            </w:r>
            <w:r>
              <w:rPr>
                <w:sz w:val="20"/>
                <w:szCs w:val="20"/>
              </w:rPr>
            </w:r>
          </w:p>
          <w:p>
            <w:pPr>
              <w:pStyle w:val="698"/>
              <w:jc w:val="both"/>
              <w:rPr>
                <w:sz w:val="20"/>
                <w:szCs w:val="20"/>
              </w:rPr>
              <w:outlineLvl w:val="1"/>
            </w:pPr>
            <w:r>
              <w:rPr>
                <w:sz w:val="20"/>
                <w:szCs w:val="20"/>
              </w:rPr>
              <w:t xml:space="preserve">Порядок осуществления страховой выплаты (страхового возмещения) указан в разделе 10 Оферты.</w:t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0490" w:type="dxa"/>
        <w:tblInd w:w="-80" w:type="dxa"/>
        <w:tblLayout w:type="fixed"/>
        <w:tblCellMar>
          <w:left w:w="62" w:type="dxa"/>
          <w:top w:w="85" w:type="dxa"/>
          <w:right w:w="62" w:type="dxa"/>
          <w:bottom w:w="85" w:type="dxa"/>
        </w:tblCellMar>
        <w:tblLook w:val="0000" w:firstRow="0" w:lastRow="0" w:firstColumn="0" w:lastColumn="0" w:noHBand="0" w:noVBand="0"/>
      </w:tblPr>
      <w:tblGrid>
        <w:gridCol w:w="7088"/>
        <w:gridCol w:w="3402"/>
      </w:tblGrid>
      <w:tr>
        <w:tblPrEx/>
        <w:trPr/>
        <w:tc>
          <w:tcPr>
            <w:gridSpan w:val="2"/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90" w:type="dxa"/>
            <w:textDirection w:val="lrTb"/>
            <w:noWrap w:val="false"/>
          </w:tcPr>
          <w:p>
            <w:pPr>
              <w:pStyle w:val="698"/>
              <w:jc w:val="center"/>
              <w:rPr>
                <w:b/>
                <w:sz w:val="20"/>
                <w:szCs w:val="20"/>
              </w:rPr>
              <w:outlineLvl w:val="1"/>
            </w:pPr>
            <w:r>
              <w:rPr>
                <w:b/>
                <w:sz w:val="20"/>
                <w:szCs w:val="20"/>
              </w:rPr>
              <w:t xml:space="preserve">Раздел V. КАК ВЕРНУТЬ СТРАХОВУЮ ПРЕМИЮ?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textDirection w:val="lrTb"/>
            <w:noWrap w:val="false"/>
          </w:tcPr>
          <w:p>
            <w:pPr>
              <w:pStyle w:val="6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Основания для возврата страховой премии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pStyle w:val="6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возврата страховой премии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textDirection w:val="lrTb"/>
            <w:noWrap w:val="false"/>
          </w:tcPr>
          <w:p>
            <w:pPr>
              <w:pStyle w:val="6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Отказ от договора доброво</w:t>
            </w:r>
            <w:r>
              <w:rPr>
                <w:sz w:val="20"/>
                <w:szCs w:val="20"/>
              </w:rPr>
              <w:t xml:space="preserve">льного страхования в течение 14 календарных дней со дня его заключения в соответствии с Указанием Банка России от 20.11.2015 года №3854-У «О минимальных (стандартных) требованиях к условиям и порядку осуществления отдельных видов добровольного страхования»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100% от страховой премии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textDirection w:val="lrTb"/>
            <w:noWrap w:val="false"/>
          </w:tcPr>
          <w:p>
            <w:pPr>
              <w:pStyle w:val="6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Отказ от договора добровольного страхования в случае ненадлежащего информирования об условиях страхования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9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100% от страховой премии за вычетом части страховой премии, исчисляемой пропорционально времени, в течение которого действовало страхование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176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88" w:type="dxa"/>
            <w:textDirection w:val="lrTb"/>
            <w:noWrap w:val="false"/>
          </w:tcPr>
          <w:p>
            <w:pPr>
              <w:pStyle w:val="6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Возможность наступления страхового случая отпала, и существование страхового риска прекратилось по обстоятельствам иным, чем страховой случай (п. 1 ст. 958 ГК РФ)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pStyle w:val="698"/>
              <w:jc w:val="center"/>
              <w:rPr>
                <w:sz w:val="20"/>
                <w:szCs w:val="20"/>
              </w:rPr>
              <w:outlineLvl w:val="1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90" w:type="dxa"/>
            <w:textDirection w:val="lrTb"/>
            <w:noWrap w:val="false"/>
          </w:tcPr>
          <w:p>
            <w:pPr>
              <w:pStyle w:val="698"/>
              <w:jc w:val="center"/>
              <w:rPr>
                <w:sz w:val="20"/>
                <w:szCs w:val="20"/>
              </w:rPr>
              <w:outlineLvl w:val="1"/>
            </w:pPr>
            <w:r>
              <w:rPr>
                <w:sz w:val="20"/>
                <w:szCs w:val="20"/>
              </w:rPr>
              <w:t xml:space="preserve">В иных случаях страховая премия возврату не подлежит.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W w:w="10490" w:type="dxa"/>
            <w:textDirection w:val="lrTb"/>
            <w:noWrap w:val="false"/>
          </w:tcPr>
          <w:p>
            <w:pPr>
              <w:pStyle w:val="698"/>
              <w:jc w:val="both"/>
              <w:rPr>
                <w:sz w:val="20"/>
                <w:szCs w:val="20"/>
              </w:rPr>
              <w:outlineLvl w:val="1"/>
            </w:pPr>
            <w:r>
              <w:rPr>
                <w:sz w:val="20"/>
                <w:szCs w:val="20"/>
              </w:rPr>
              <w:t xml:space="preserve">Возврат страховой премии осуществляется в течение 7 рабочих дней со дня получения соответствующего заявления.</w:t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0490" w:type="dxa"/>
        <w:tblInd w:w="-8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490"/>
      </w:tblGrid>
      <w:tr>
        <w:tblPrEx/>
        <w:trPr>
          <w:trHeight w:val="191"/>
        </w:trPr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90" w:type="dxa"/>
            <w:textDirection w:val="lrTb"/>
            <w:noWrap w:val="false"/>
          </w:tcPr>
          <w:p>
            <w:pPr>
              <w:pStyle w:val="698"/>
              <w:jc w:val="center"/>
              <w:rPr>
                <w:b/>
                <w:sz w:val="20"/>
                <w:szCs w:val="20"/>
              </w:rPr>
              <w:outlineLvl w:val="1"/>
            </w:pPr>
            <w:r>
              <w:rPr>
                <w:b/>
                <w:sz w:val="20"/>
                <w:szCs w:val="20"/>
              </w:rPr>
              <w:t xml:space="preserve">Раздел VI. КАК УРЕГУЛИРОВАТЬ СПОР ДО СУДА?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90" w:type="dxa"/>
            <w:textDirection w:val="lrTb"/>
            <w:noWrap w:val="false"/>
          </w:tcPr>
          <w:p>
            <w:pPr>
              <w:pStyle w:val="6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Направить Страховщику заявление (претензию) в письменной форме.</w:t>
            </w:r>
            <w:r>
              <w:rPr>
                <w:sz w:val="20"/>
                <w:szCs w:val="20"/>
              </w:rPr>
            </w:r>
          </w:p>
          <w:p>
            <w:pPr>
              <w:pStyle w:val="698"/>
              <w:jc w:val="both"/>
              <w:rPr>
                <w:sz w:val="20"/>
                <w:szCs w:val="20"/>
              </w:rPr>
              <w:outlineLvl w:val="1"/>
            </w:pPr>
            <w:r>
              <w:rPr>
                <w:sz w:val="20"/>
                <w:szCs w:val="20"/>
              </w:rPr>
              <w:t xml:space="preserve">2. Если Страховщик не удовлетворил заявление (претензию), при этом размер требований не превышает 500 000,00 рублей, до обращения в суд необходимо обратиться к уполномоченному по правам потребителей финансовых услуг:</w:t>
            </w:r>
            <w:r>
              <w:rPr>
                <w:sz w:val="20"/>
                <w:szCs w:val="20"/>
              </w:rPr>
            </w:r>
          </w:p>
          <w:p>
            <w:pPr>
              <w:pStyle w:val="6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сайт: www.finombudsman.ru;</w:t>
            </w:r>
            <w:r>
              <w:rPr>
                <w:sz w:val="20"/>
                <w:szCs w:val="20"/>
              </w:rPr>
            </w:r>
          </w:p>
          <w:p>
            <w:pPr>
              <w:pStyle w:val="698"/>
              <w:jc w:val="both"/>
              <w:rPr>
                <w:sz w:val="20"/>
                <w:szCs w:val="20"/>
              </w:rPr>
              <w:outlineLvl w:val="1"/>
            </w:pPr>
            <w:r>
              <w:rPr>
                <w:sz w:val="20"/>
                <w:szCs w:val="20"/>
              </w:rPr>
              <w:t xml:space="preserve">Адрес: 119017, г. Москва, Старомонетный пер., дом 3.</w:t>
            </w:r>
            <w:r>
              <w:rPr>
                <w:sz w:val="20"/>
                <w:szCs w:val="20"/>
              </w:rPr>
            </w:r>
          </w:p>
          <w:p>
            <w:pPr>
              <w:pStyle w:val="698"/>
              <w:jc w:val="both"/>
              <w:rPr>
                <w:sz w:val="20"/>
                <w:szCs w:val="20"/>
              </w:rPr>
              <w:outlineLvl w:val="1"/>
            </w:pPr>
            <w:r>
              <w:rPr>
                <w:sz w:val="20"/>
                <w:szCs w:val="20"/>
              </w:rPr>
              <w:t xml:space="preserve">Рассмотрение уполномоченным по правам потребителей финансовых услуг обращения потребителя финансовых услуг осуществляется бесплатно.</w:t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6" w:bottom="284" w:left="1134" w:header="567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716"/>
        <w:jc w:val="both"/>
        <w:rPr>
          <w:rFonts w:ascii="Times New Roman" w:hAnsi="Times New Roman" w:cs="Times New Roman"/>
          <w:spacing w:val="-6"/>
        </w:rPr>
      </w:pPr>
      <w:r>
        <w:rPr>
          <w:rStyle w:val="718"/>
          <w:rFonts w:ascii="Times New Roman" w:hAnsi="Times New Roman" w:cs="Times New Roman"/>
          <w:spacing w:val="-6"/>
        </w:rPr>
        <w:footnoteRef/>
      </w:r>
      <w:r>
        <w:rPr>
          <w:rFonts w:ascii="Times New Roman" w:hAnsi="Times New Roman" w:cs="Times New Roman"/>
          <w:spacing w:val="-6"/>
        </w:rPr>
        <w:t xml:space="preserve"> Здесь и далее по тексту: в качестве шестой инфекции может выступать либо </w:t>
      </w:r>
      <w:r>
        <w:rPr>
          <w:rFonts w:ascii="Times New Roman" w:hAnsi="Times New Roman" w:cs="Times New Roman"/>
          <w:spacing w:val="-6"/>
        </w:rPr>
        <w:t xml:space="preserve">риккетсиоз, либо </w:t>
      </w:r>
      <w:r>
        <w:rPr>
          <w:rFonts w:ascii="Times New Roman" w:hAnsi="Times New Roman" w:cs="Times New Roman"/>
          <w:spacing w:val="-6"/>
        </w:rPr>
        <w:t xml:space="preserve">бабезиоз</w:t>
      </w:r>
      <w:r>
        <w:rPr>
          <w:rFonts w:ascii="Times New Roman" w:hAnsi="Times New Roman" w:cs="Times New Roman"/>
          <w:spacing w:val="-6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240018500"/>
      <w:docPartObj>
        <w:docPartGallery w:val="Page Numbers (Top of Page)"/>
        <w:docPartUnique w:val="true"/>
      </w:docPartObj>
      <w:rPr/>
    </w:sdtPr>
    <w:sdtContent>
      <w:p>
        <w:pPr>
          <w:pStyle w:val="7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1"/>
    <w:next w:val="69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4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4"/>
    <w:link w:val="69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4"/>
    <w:link w:val="693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1"/>
    <w:next w:val="69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1"/>
    <w:next w:val="69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1"/>
    <w:next w:val="69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1"/>
    <w:next w:val="69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1"/>
    <w:next w:val="69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1"/>
    <w:next w:val="69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1"/>
    <w:next w:val="69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4"/>
    <w:link w:val="34"/>
    <w:uiPriority w:val="10"/>
    <w:rPr>
      <w:sz w:val="48"/>
      <w:szCs w:val="48"/>
    </w:rPr>
  </w:style>
  <w:style w:type="paragraph" w:styleId="36">
    <w:name w:val="Subtitle"/>
    <w:basedOn w:val="691"/>
    <w:next w:val="69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4"/>
    <w:link w:val="36"/>
    <w:uiPriority w:val="11"/>
    <w:rPr>
      <w:sz w:val="24"/>
      <w:szCs w:val="24"/>
    </w:rPr>
  </w:style>
  <w:style w:type="paragraph" w:styleId="38">
    <w:name w:val="Quote"/>
    <w:basedOn w:val="691"/>
    <w:next w:val="69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1"/>
    <w:next w:val="69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4"/>
    <w:link w:val="712"/>
    <w:uiPriority w:val="99"/>
  </w:style>
  <w:style w:type="character" w:styleId="45">
    <w:name w:val="Footer Char"/>
    <w:basedOn w:val="694"/>
    <w:link w:val="714"/>
    <w:uiPriority w:val="99"/>
  </w:style>
  <w:style w:type="paragraph" w:styleId="46">
    <w:name w:val="Caption"/>
    <w:basedOn w:val="691"/>
    <w:next w:val="691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94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16"/>
    <w:uiPriority w:val="99"/>
    <w:rPr>
      <w:sz w:val="18"/>
    </w:rPr>
  </w:style>
  <w:style w:type="paragraph" w:styleId="178">
    <w:name w:val="endnote text"/>
    <w:basedOn w:val="69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4"/>
    <w:uiPriority w:val="99"/>
    <w:semiHidden/>
    <w:unhideWhenUsed/>
    <w:rPr>
      <w:vertAlign w:val="superscript"/>
    </w:rPr>
  </w:style>
  <w:style w:type="paragraph" w:styleId="181">
    <w:name w:val="toc 1"/>
    <w:basedOn w:val="691"/>
    <w:next w:val="69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1"/>
    <w:next w:val="69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1"/>
    <w:next w:val="69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1"/>
    <w:next w:val="69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1"/>
    <w:next w:val="69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1"/>
    <w:next w:val="69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1"/>
    <w:next w:val="69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1"/>
    <w:next w:val="69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1"/>
    <w:next w:val="69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1"/>
    <w:next w:val="691"/>
    <w:uiPriority w:val="99"/>
    <w:unhideWhenUsed/>
    <w:pPr>
      <w:spacing w:after="0" w:afterAutospacing="0"/>
    </w:pPr>
  </w:style>
  <w:style w:type="paragraph" w:styleId="691" w:default="1">
    <w:name w:val="Normal"/>
    <w:qFormat/>
  </w:style>
  <w:style w:type="paragraph" w:styleId="692">
    <w:name w:val="Heading 2"/>
    <w:basedOn w:val="691"/>
    <w:next w:val="691"/>
    <w:link w:val="706"/>
    <w:uiPriority w:val="99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693">
    <w:name w:val="Heading 3"/>
    <w:basedOn w:val="691"/>
    <w:next w:val="691"/>
    <w:link w:val="709"/>
    <w:uiPriority w:val="9"/>
    <w:semiHidden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694" w:default="1">
    <w:name w:val="Default Paragraph Font"/>
    <w:uiPriority w:val="1"/>
    <w:semiHidden/>
    <w:unhideWhenUsed/>
  </w:style>
  <w:style w:type="table" w:styleId="6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6" w:default="1">
    <w:name w:val="No List"/>
    <w:uiPriority w:val="99"/>
    <w:semiHidden/>
    <w:unhideWhenUsed/>
  </w:style>
  <w:style w:type="table" w:styleId="697">
    <w:name w:val="Table Grid"/>
    <w:basedOn w:val="69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8" w:customStyle="1">
    <w:name w:val="ConsPlusNormal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699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paragraph" w:styleId="700" w:customStyle="1">
    <w:name w:val="заголовок 1"/>
    <w:basedOn w:val="691"/>
    <w:next w:val="691"/>
    <w:pPr>
      <w:jc w:val="center"/>
      <w:keepNext/>
      <w:spacing w:after="0" w:line="240" w:lineRule="auto"/>
      <w:tabs>
        <w:tab w:val="left" w:pos="0" w:leader="none"/>
        <w:tab w:val="left" w:pos="2552" w:leader="none"/>
      </w:tabs>
    </w:pPr>
    <w:rPr>
      <w:rFonts w:ascii="Times New Roman" w:hAnsi="Times New Roman" w:eastAsia="Times New Roman" w:cs="Times New Roman"/>
      <w:b/>
      <w:bCs/>
      <w:sz w:val="20"/>
      <w:szCs w:val="24"/>
      <w:lang w:eastAsia="ru-RU"/>
    </w:rPr>
  </w:style>
  <w:style w:type="paragraph" w:styleId="701">
    <w:name w:val="List Paragraph"/>
    <w:basedOn w:val="691"/>
    <w:link w:val="710"/>
    <w:uiPriority w:val="34"/>
    <w:qFormat/>
    <w:pPr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02">
    <w:name w:val="Hyperlink"/>
    <w:uiPriority w:val="99"/>
    <w:rPr>
      <w:color w:val="0000ff"/>
      <w:u w:val="single"/>
    </w:rPr>
  </w:style>
  <w:style w:type="paragraph" w:styleId="703" w:customStyle="1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704">
    <w:name w:val="Balloon Text"/>
    <w:basedOn w:val="691"/>
    <w:link w:val="70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5" w:customStyle="1">
    <w:name w:val="Текст выноски Знак"/>
    <w:basedOn w:val="694"/>
    <w:link w:val="704"/>
    <w:uiPriority w:val="99"/>
    <w:semiHidden/>
    <w:rPr>
      <w:rFonts w:ascii="Tahoma" w:hAnsi="Tahoma" w:cs="Tahoma"/>
      <w:sz w:val="16"/>
      <w:szCs w:val="16"/>
    </w:rPr>
  </w:style>
  <w:style w:type="character" w:styleId="706" w:customStyle="1">
    <w:name w:val="Заголовок 2 Знак"/>
    <w:basedOn w:val="694"/>
    <w:link w:val="692"/>
    <w:uiPriority w:val="99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707">
    <w:name w:val="Body Text Indent 2"/>
    <w:basedOn w:val="691"/>
    <w:link w:val="708"/>
    <w:uiPriority w:val="99"/>
    <w:unhideWhenUsed/>
    <w:pPr>
      <w:ind w:left="283"/>
      <w:spacing w:after="120" w:line="480" w:lineRule="auto"/>
    </w:pPr>
    <w:rPr>
      <w:rFonts w:ascii="Verdana" w:hAnsi="Verdana" w:eastAsia="Calibri" w:cs="Times New Roman"/>
      <w:sz w:val="24"/>
      <w:szCs w:val="24"/>
      <w:lang w:eastAsia="ru-RU"/>
    </w:rPr>
  </w:style>
  <w:style w:type="character" w:styleId="708" w:customStyle="1">
    <w:name w:val="Основной текст с отступом 2 Знак"/>
    <w:basedOn w:val="694"/>
    <w:link w:val="707"/>
    <w:uiPriority w:val="99"/>
    <w:rPr>
      <w:rFonts w:ascii="Verdana" w:hAnsi="Verdana" w:eastAsia="Calibri" w:cs="Times New Roman"/>
      <w:sz w:val="24"/>
      <w:szCs w:val="24"/>
      <w:lang w:eastAsia="ru-RU"/>
    </w:rPr>
  </w:style>
  <w:style w:type="character" w:styleId="709" w:customStyle="1">
    <w:name w:val="Заголовок 3 Знак"/>
    <w:basedOn w:val="694"/>
    <w:link w:val="693"/>
    <w:uiPriority w:val="9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710" w:customStyle="1">
    <w:name w:val="Абзац списка Знак"/>
    <w:link w:val="701"/>
    <w:uiPriority w:val="34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11">
    <w:name w:val="Revision"/>
    <w:hidden/>
    <w:uiPriority w:val="99"/>
    <w:semiHidden/>
    <w:pPr>
      <w:spacing w:after="0" w:line="240" w:lineRule="auto"/>
    </w:pPr>
  </w:style>
  <w:style w:type="paragraph" w:styleId="712">
    <w:name w:val="Header"/>
    <w:basedOn w:val="691"/>
    <w:link w:val="7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3" w:customStyle="1">
    <w:name w:val="Верхний колонтитул Знак"/>
    <w:basedOn w:val="694"/>
    <w:link w:val="712"/>
    <w:uiPriority w:val="99"/>
  </w:style>
  <w:style w:type="paragraph" w:styleId="714">
    <w:name w:val="Footer"/>
    <w:basedOn w:val="691"/>
    <w:link w:val="7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5" w:customStyle="1">
    <w:name w:val="Нижний колонтитул Знак"/>
    <w:basedOn w:val="694"/>
    <w:link w:val="714"/>
    <w:uiPriority w:val="99"/>
  </w:style>
  <w:style w:type="paragraph" w:styleId="716">
    <w:name w:val="footnote text"/>
    <w:basedOn w:val="691"/>
    <w:link w:val="71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7" w:customStyle="1">
    <w:name w:val="Текст сноски Знак"/>
    <w:basedOn w:val="694"/>
    <w:link w:val="716"/>
    <w:uiPriority w:val="99"/>
    <w:semiHidden/>
    <w:rPr>
      <w:sz w:val="20"/>
      <w:szCs w:val="20"/>
    </w:rPr>
  </w:style>
  <w:style w:type="character" w:styleId="718">
    <w:name w:val="footnote reference"/>
    <w:basedOn w:val="694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hyperlink" Target="mailto:info@d2insu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DA480-9983-4AFE-8773-C0041987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>HP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</dc:creator>
  <cp:lastModifiedBy>Анастасия Колечкова</cp:lastModifiedBy>
  <cp:revision>13</cp:revision>
  <dcterms:created xsi:type="dcterms:W3CDTF">2023-03-15T07:18:00Z</dcterms:created>
  <dcterms:modified xsi:type="dcterms:W3CDTF">2025-03-18T09:26:38Z</dcterms:modified>
</cp:coreProperties>
</file>